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中国建筑装饰及水暖管道零件制造行业重点企业竞争力价值评估分析报告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中国建筑装饰及水暖管道零件制造行业重点企业竞争力价值评估分析报告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中国建筑装饰及水暖管道零件制造行业重点企业竞争力价值评估分析报告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https://www.icandata.com/view/157887.html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https://www.icandata.com/view/157887.html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中国建筑装饰及水暖管道零件制造行业重点企业竞争力价值评估分析报告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157887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