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2010-2015年中国MDI行业投资战略分析及运营前景预测报告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2010-2015年中国MDI行业投资战略分析及运营前景预测报告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2010-2015年中国MDI行业投资战略分析及运营前景预测报告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2010-2015年中国MDI行业投资战略分析及运营前景预测报告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