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“十一五”期间中国家具市场运行形势及“十二五”投资战略指导研究报告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“十一五”期间中国家具市场运行形势及“十二五”投资战略指导研究报告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“十一五”期间中国家具市场运行形势及“十二五”投资战略指导研究报告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“十一五”期间中国家具市场运行形势及“十二五”投资战略指导研究报告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