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电极市场运营态势深度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电极市场运营态势深度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电极市场运营态势深度调查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电极市场运营态势深度调查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