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中国饲料加工产业运营态势深度分析及前景预测报告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中国饲料加工产业运营态势深度分析及前景预测报告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中国饲料加工产业运营态势深度分析及前景预测报告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中国饲料加工产业运营态势深度分析及前景预测报告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