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2012-2016年中国餐饮连锁业行情态势及发展前景预测报告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2012-2016年中国餐饮连锁业行情态势及发展前景预测报告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2012-2016年中国餐饮连锁业行情态势及发展前景预测报告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https://www.icandata.com/view/213717.html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https://www.icandata.com/view/213717.html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2012-2016年中国餐饮连锁业行情态势及发展前景预测报告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213717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