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2006年中国水力发电行业运行及发展分析报告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2006年中国水力发电行业运行及发展分析报告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2006年中国水力发电行业运行及发展分析报告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双方签订合同后5个工作日内月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2006年中国水力发电行业运行及发展分析报告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