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2019-2025年中国生活服务O2O行业市场发展现状及投资前景咨询报告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2019-2025年中国生活服务O2O行业市场发展现状及投资前景咨询报告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2019-2025年中国生活服务O2O行业市场发展现状及投资前景咨询报告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https://www.icandata.com/view/300519.html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https://www.icandata.com/view/300519.html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2019-2025年中国生活服务O2O行业市场发展现状及投资前景咨询报告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300519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