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2019-2025年中国病毒立克次氏体类生物制品行业市场发展现状及投资前景咨询报告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2019-2025年中国病毒立克次氏体类生物制品行业市场发展现状及投资前景咨询报告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2019-2025年中国病毒立克次氏体类生物制品行业市场发展现状及投资前景咨询报告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https://www.icandata.com/view/306363.html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https://www.icandata.com/view/306363.html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2019-2025年中国病毒立克次氏体类生物制品行业市场发展现状及投资前景咨询报告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306363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