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2019-2025年中国半导体制冷晶棒行业市场发展现状及投资前景咨询报告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2019-2025年中国半导体制冷晶棒行业市场发展现状及投资前景咨询报告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2019-2025年中国半导体制冷晶棒行业市场发展现状及投资前景咨询报告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2019-2025年中国半导体制冷晶棒行业市场发展现状及投资前景咨询报告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