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ind w:firstLine="0" w:firstLineChars="0"/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3" w:beforeLines="600" w:after="156" w:line="579" w:lineRule="auto"/>
        <w:ind w:left="-850" w:leftChars="-405" w:firstLine="0" w:firstLineChars="0"/>
        <w:jc w:val="left"/>
        <w:textAlignment w:val="auto"/>
        <w:rPr>
          <w:rFonts w:ascii="黑体" w:hAnsi="黑体" w:eastAsia="黑体"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  <w:t>2024-2030年中国褐煤干燥体制行业市场发展现状及投资前景咨询报告</w:t>
      </w:r>
      <w:r>
        <w:rPr>
          <w:rFonts w:ascii="黑体" w:hAnsi="黑体" w:eastAsia="黑体"/>
          <w:color w:val="FFFFFF" w:themeColor="background1"/>
          <w:sz w:val="52"/>
          <w:szCs w:val="52"/>
          <w14:textFill>
            <w14:solidFill>
              <w14:schemeClr w14:val="bg1"/>
            </w14:solidFill>
          </w14:textFill>
        </w:rPr>
        <w:t xml:space="preserve"> </w:t>
      </w:r>
    </w:p>
    <w:p>
      <w:pPr>
        <w:widowControl/>
        <w:spacing w:before="156" w:after="156"/>
        <w:ind w:firstLine="198" w:firstLineChars="94"/>
        <w:jc w:val="left"/>
        <w:rPr>
          <w:rFonts w:ascii="宋体" w:hAnsi="宋体" w:eastAsia="宋体" w:cs="Tahoma"/>
          <w:b/>
        </w:rPr>
      </w:pPr>
      <w:r>
        <w:rPr>
          <w:rFonts w:ascii="宋体" w:hAnsi="宋体" w:eastAsia="宋体" w:cs="Tahoma"/>
          <w:b/>
        </w:rPr>
        <w:br w:type="page"/>
      </w:r>
    </w:p>
    <w:p>
      <w:pPr>
        <w:pStyle w:val="3"/>
        <w:spacing w:before="156" w:after="156"/>
        <w:ind w:left="0" w:leftChars="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报告说明</w:t>
      </w:r>
    </w:p>
    <w:p>
      <w:pPr>
        <w:spacing w:before="156" w:after="156"/>
        <w:ind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ascii="宋体" w:hAnsi="宋体" w:eastAsia="宋体"/>
          <w:sz w:val="24"/>
          <w:szCs w:val="24"/>
        </w:rPr>
        <w:t>2024-2030年中国褐煤干燥体制行业市场发展现状及投资前景咨询报告</w:t>
      </w:r>
      <w:r>
        <w:rPr>
          <w:rFonts w:hint="eastAsia" w:ascii="宋体" w:hAnsi="宋体" w:eastAsia="宋体"/>
          <w:sz w:val="24"/>
          <w:szCs w:val="24"/>
        </w:rPr>
        <w:t>》是</w:t>
      </w:r>
      <w:r>
        <w:rPr>
          <w:rFonts w:hint="eastAsia" w:ascii="宋体" w:hAnsi="宋体" w:eastAsia="宋体"/>
          <w:sz w:val="24"/>
          <w:szCs w:val="24"/>
          <w:lang w:eastAsia="zh-CN"/>
        </w:rPr>
        <w:t>艾凯咨询集团经过</w:t>
      </w:r>
      <w:r>
        <w:rPr>
          <w:rFonts w:hint="eastAsia" w:ascii="宋体" w:hAnsi="宋体" w:eastAsia="宋体"/>
          <w:sz w:val="24"/>
          <w:szCs w:val="24"/>
        </w:rPr>
        <w:t>数月的周密调研，结合国家统计局，行业协会，工商，税务海关等相关数据，由行业内知名专家撰写而成。报告意于成为从事本行业人士经营及投资提供参考的重要依据。</w:t>
      </w:r>
    </w:p>
    <w:p>
      <w:pPr>
        <w:spacing w:before="156" w:after="156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报告主要可分为四大部分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首先，报告对本行业的特征及国内外市场环境进行描述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</w:rPr>
        <w:t>其次，是本行业的上下游产业链，市场供需状况及竞争格局从宏观到细致的详尽剖析，接着报告中列出数家该行业的重点企业，分析相关经营数据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</w:rPr>
        <w:t>最后，对该行业未来的发展前景，投资风险给出指导建议。相信该份报告对您把握市场脉搏，知悉竞争对手，进行战略投资具有重要帮助。</w:t>
      </w:r>
    </w:p>
    <w:p>
      <w:pPr>
        <w:spacing w:before="156" w:after="156"/>
        <w:ind w:firstLine="480"/>
        <w:rPr>
          <w:rFonts w:ascii="宋体" w:hAnsi="宋体" w:eastAsia="宋体"/>
          <w:sz w:val="24"/>
          <w:szCs w:val="24"/>
        </w:rPr>
      </w:pPr>
    </w:p>
    <w:tbl>
      <w:tblPr>
        <w:tblStyle w:val="10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6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2024-2030年中国褐煤干燥体制行业市场发展现状及投资前景咨询报告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color w:val="auto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Cs w:val="21"/>
              </w:rPr>
              <w:t>8000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Cs w:val="21"/>
              </w:rPr>
              <w:t>8000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Cs w:val="21"/>
              </w:rPr>
              <w:t>8500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rPr>
                <w:rFonts w:hint="eastAsia" w:ascii="Arial" w:hAnsi="Arial" w:eastAsia="宋体" w:cs="Arial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</w:rPr>
              <w:t>4500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eastAsia="zh-CN"/>
              </w:rPr>
              <w:t>美元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beforeLines="0" w:afterLines="0" w:line="24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hint="eastAsia" w:ascii="Arial" w:hAnsi="Arial" w:cs="Arial"/>
              </w:rPr>
              <w:t>80392465</w:t>
            </w:r>
          </w:p>
        </w:tc>
      </w:tr>
    </w:tbl>
    <w:p>
      <w:pPr>
        <w:tabs>
          <w:tab w:val="center" w:pos="4364"/>
        </w:tabs>
        <w:spacing w:before="312" w:beforeLines="100" w:after="156"/>
        <w:ind w:left="0" w:leftChars="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在线阅读：</w:t>
      </w:r>
      <w:r>
        <w:fldChar w:fldCharType="begin"/>
      </w:r>
      <w:r>
        <w:instrText xml:space="preserve"> HYPERLINK "https://www.icandata.com/baogao" </w:instrText>
      </w:r>
      <w:r>
        <w:fldChar w:fldCharType="separate"/>
      </w:r>
      <w:r>
        <w:rPr>
          <w:rStyle w:val="8"/>
          <w:rFonts w:ascii="宋体" w:hAnsi="宋体" w:eastAsia="宋体" w:cs="Times New Roman"/>
          <w:sz w:val="24"/>
          <w:szCs w:val="24"/>
        </w:rPr>
        <w:t>https://www.icandata.com/view/370264.html</w:t>
      </w:r>
      <w:r>
        <w:rPr>
          <w:rStyle w:val="8"/>
          <w:rFonts w:ascii="宋体" w:hAnsi="宋体" w:eastAsia="宋体" w:cs="Times New Roman"/>
          <w:sz w:val="24"/>
          <w:szCs w:val="24"/>
        </w:rPr>
        <w:fldChar w:fldCharType="end"/>
      </w:r>
    </w:p>
    <w:p>
      <w:pPr>
        <w:widowControl/>
        <w:spacing w:beforeLines="0" w:afterLines="0" w:line="240" w:lineRule="auto"/>
        <w:ind w:firstLine="0" w:firstLineChars="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pStyle w:val="3"/>
        <w:spacing w:before="156" w:after="156"/>
        <w:ind w:left="-1" w:leftChars="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报告目录</w:t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第一章 产业定位及特征分析</w:t>
      </w:r>
    </w:p>
    <w:p>
      <w:pPr>
        <w:spacing w:line="240" w:lineRule="auto"/>
        <w:ind w:left="0" w:leftChars="0" w:firstLine="0" w:firstLineChars="0"/>
      </w:pPr>
      <w:r>
        <w:t>第一节 褐煤干燥体制定义及分类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一、产品定义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二、产品分类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产业管理及政策概述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一、褐煤干燥体制行业管理体制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二、褐煤干燥体制行业主管部门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二、褐煤干燥体制行业法规和政策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褐煤干燥体制市场发展历程及周期性分析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一、细分市场发展历程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二、产品周期性分析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第四节 褐煤干燥体制行业特征分析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一、褐煤干燥体制行业生命周期分析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二、褐煤干燥体制季节性消费特征分析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三、褐煤干燥体制政策准入机制分析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四、褐煤干燥体制经营模式分析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五、褐煤干燥体制技术门槛分析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第二章 2018-2023年中国褐煤干燥体制发展环境分析</w:t>
      </w:r>
    </w:p>
    <w:p>
      <w:pPr>
        <w:spacing w:line="240" w:lineRule="auto"/>
        <w:ind w:left="0" w:leftChars="0" w:firstLine="0" w:firstLineChars="0"/>
      </w:pPr>
      <w:r>
        <w:t>第一节 经济环境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一、世界经济形势分析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一、中国经济发展现状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一、经济结构转型分析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一、宏观经济发展预测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褐煤干燥体制税收及进出口关税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社会环境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第四节 褐煤干燥体制技术发展现状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一、褐煤干燥体制行业技术发展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 褐煤干燥体制 生产工艺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一、褐煤干燥体制技术发展趋势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第三章 2023年全球褐煤干燥体制行业市场发展分析</w:t>
      </w:r>
    </w:p>
    <w:p>
      <w:pPr>
        <w:spacing w:line="240" w:lineRule="auto"/>
        <w:ind w:left="0" w:leftChars="0" w:firstLine="0" w:firstLineChars="0"/>
      </w:pPr>
      <w:r>
        <w:t>第一节 全球褐煤干燥体制行业市场运行分析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一、2018-2023年全球褐煤干燥体制行业供需状况分析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二、2018-2023年全球褐煤干燥体制行业规模状况分析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三、全球褐煤干燥体制行业技术发展分析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四、2023年全球褐煤干燥体制行业产业结构分析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全球褐煤干燥体制行业市场格局分析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一、全球褐煤干燥体制市场价格影响因素分析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二、2023年全球褐煤干燥体制区域消费格局分析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三、2023年全球褐煤干燥体制行业重点企业或品牌一览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中国褐煤干燥体制行业出口全球市场发展策略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一、中国褐煤干燥体制行业出口存在的问题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二、中国褐煤干燥体制行业出口发展策略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第四章 2023年我国褐煤干燥体制行业发展现状</w:t>
      </w:r>
    </w:p>
    <w:p>
      <w:pPr>
        <w:spacing w:line="240" w:lineRule="auto"/>
        <w:ind w:left="0" w:leftChars="0" w:firstLine="0" w:firstLineChars="0"/>
      </w:pPr>
      <w:r>
        <w:t>第一节 中国褐煤干燥体制行业发展概述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一、中国褐煤干燥体制行业发展现状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二、中国褐煤干燥体制发展面临问题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三、2018-2023年中国褐煤干燥体制行业市场规模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四、中国褐煤干燥体制行业需求客户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我国褐煤干燥体制行业发展状况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一、2018-2023年中国褐煤干燥体制行业产值情况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二、2023年我国褐煤干燥体制产值区域分布分析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2018-2023年中国褐煤干燥体制行业产量分析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第四节 2023年中国褐煤干燥体制行业需求分析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一、2018-2023年我国褐煤干燥体制行业需求分析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二、2018-2023年我国褐煤干燥体制市场价格走势分析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第五章 褐煤干燥体制行业竞争态势分析</w:t>
      </w:r>
    </w:p>
    <w:p>
      <w:pPr>
        <w:spacing w:line="240" w:lineRule="auto"/>
        <w:ind w:left="0" w:leftChars="0" w:firstLine="0" w:firstLineChars="0"/>
      </w:pPr>
      <w:r>
        <w:t>第一节 褐煤干燥体制行业集中度分析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一、褐煤干燥体制市场集中度分析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二、褐煤干燥体制企业分布区域集中度分析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三、褐煤干燥体制区域消费集中度分析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褐煤干燥体制行业主要企业竞争力分析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一、重点企业资产总额对比分析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二、重点企业从业人员对比分析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三、重点企业全年营业收入对比分析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四、重点企业利润总额对比分析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五、重点企业综合竞争力对比分析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褐煤干燥体制行业竞争格局分析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一、2023年褐煤干燥体制行业竞争分析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二、2023年中外褐煤干燥体制产品竞争分析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三、2023年我国褐煤干燥体制市场竞争分析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四、近年国内褐煤干燥体制行业重点企业发展动向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第六章 中国褐煤干燥体制所属行业整体运行指标分析</w:t>
      </w:r>
    </w:p>
    <w:p>
      <w:pPr>
        <w:spacing w:line="240" w:lineRule="auto"/>
        <w:ind w:left="0" w:leftChars="0" w:firstLine="0" w:firstLineChars="0"/>
      </w:pPr>
      <w:r>
        <w:t>第一节 2018-2023年中国褐煤干燥体制所属行业总体规模分析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一、所属行业企业数量结构分析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二、所属行业生产规模分析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2018-2023年中国褐煤干燥体制所属行业产销分析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一、所属行业产成品情况总体分析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二、所属行业产品销售收入总体分析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2018-2023年中国褐煤干燥体制所属行业财务指标总体分析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一、所属行业盈利能力分析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二、所属行业偿债能力分析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三、所属行业营运能力分析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四、所属行业发展能力分析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第四节 产销运存分析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一、2018-2023年褐煤干燥体制所属行业产销情况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二、2018-2023年褐煤干燥体制所属行业库存情况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三、2018-2023年褐煤干燥体制所属行业资金周转情况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第五节 2024-2030年褐煤干燥体制所属行业盈利水平预测分析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第七章 中国褐煤干燥体制所属行业进出口分析</w:t>
      </w:r>
    </w:p>
    <w:p>
      <w:pPr>
        <w:spacing w:line="240" w:lineRule="auto"/>
        <w:ind w:left="0" w:leftChars="0" w:firstLine="0" w:firstLineChars="0"/>
      </w:pPr>
      <w:r>
        <w:t>第一节 中国褐煤干燥体制所属行业进出口总体情况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中国褐煤干燥体制所属行业出口分析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一、中国褐煤干燥体制所属行业出口情况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二、中国褐煤干燥体制所属行业出口结构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中国褐煤干燥体制所属行业进口分析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一、中国褐煤干燥体制所属行业进口情况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二、中国褐煤干燥体制所属行业进口结构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第四节 中国褐煤干燥体制所属进出口前景分析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第八章 褐煤干燥体制重点企业发展分析</w:t>
      </w:r>
    </w:p>
    <w:p>
      <w:pPr>
        <w:spacing w:line="240" w:lineRule="auto"/>
        <w:ind w:left="0" w:leftChars="0" w:firstLine="0" w:firstLineChars="0"/>
      </w:pPr>
      <w:r>
        <w:t>第一节 A公司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一、企业发展概况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二、企业经营现状分析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三、企业主营业务分析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四、企业发展战略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B公司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一、企业发展概况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二、企业经营现状分析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三、企业主营业务分析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四、企业发展战略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C公司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一、企业发展概况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二、企业经营现状分析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三、企业主营业务分析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四、企业发展战略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第四节 D公司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一、企业发展概况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二、企业经营现状分析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三、企业主营业务分析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四、企业发展战略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第五节 E公司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一、企业发展概况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二、企业经营现状分析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三、企业主营业务分析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四、企业发展战略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第六节 F公司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一、企业发展概况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二、企业经营现状分析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三、企业主营业务分析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四、企业发展战略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第七节 G公司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一、企业发展概况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二、企业经营现状分析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三、企业主营业务分析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四、企业发展战略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第八节 L公司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一、企业发展概况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二、企业经营现状分析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三、企业主营业务分析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四、企业发展战略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第九章 2018-2023年中国褐煤干燥体制行业产业链及区域竞争全景分析</w:t>
      </w:r>
    </w:p>
    <w:p>
      <w:pPr>
        <w:spacing w:line="240" w:lineRule="auto"/>
        <w:ind w:left="0" w:leftChars="0" w:firstLine="0" w:firstLineChars="0"/>
      </w:pPr>
      <w:r>
        <w:t>第一节 褐煤干燥体制行业产业链概况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一、褐煤干燥体制行业产业链模型及产业链图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二、褐煤干燥体制行业上游重点行业分析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三、褐煤干燥体制行业下游重点行业分析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四、上下游与褐煤干燥体制行业发展关系研究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褐煤干燥体制行业相关行业或替代品行业发展分析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褐煤干燥体制行业细分产品分析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第四节 褐煤干燥体制行业区域发展分析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一、华东地区分析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1、市场发展经济环境分析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2、市场规模分析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3、发展趋势分析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二、华南地区现状分析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1、市场发展经济环境分析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2、市场规模分析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3、发展趋势分析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三、华中地区现状分析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1、市场发展经济环境分析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2、市场规模分析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3、发展趋势分析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四、华北地区现状分析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1、市场发展经济环境分析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2、市场规模分析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3、发展趋势分析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五、西部地区现状分析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1、市场发展经济环境分析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2、市场规模分析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3、发展趋势分析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六、东北地区现状分析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1、市场发展经济环境分析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2、市场规模分析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3、发展趋势分析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第十章 2024-2030年中国褐煤干燥体制行业发展预测分析</w:t>
      </w:r>
    </w:p>
    <w:p>
      <w:pPr>
        <w:spacing w:line="240" w:lineRule="auto"/>
        <w:ind w:left="0" w:leftChars="0" w:firstLine="0" w:firstLineChars="0"/>
      </w:pPr>
      <w:r>
        <w:t>第一节 2024-2030年中国褐煤干燥体制行业产量预测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2024-2030年中国褐煤干燥体制行业需求量预测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2024-2030年中国褐煤干燥体制行业规模预测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第四节 2024-2030年中国褐煤干燥体制行业竞争预测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第五节 2024-2030年中国褐煤干燥体制行业发展趋势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第六节 2024-2030年中国褐煤干燥体制行业价格或价格指数预测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第十一章 褐煤干燥体制行业投资前景研究及销售战略分析</w:t>
      </w:r>
    </w:p>
    <w:p>
      <w:pPr>
        <w:spacing w:line="240" w:lineRule="auto"/>
        <w:ind w:left="0" w:leftChars="0" w:firstLine="0" w:firstLineChars="0"/>
      </w:pPr>
      <w:r>
        <w:t>第一节 影响褐煤干燥体制行业发展的主要因素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一、影响褐煤干燥体制行业运行的有利因素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二、影响褐煤干燥体制行业运行的稳定因素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三、影响褐煤干燥体制行业运行的不利因素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四、我国褐煤干燥体制行业发展面临的挑战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五、我国褐煤干燥体制行业发展面临的机遇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第二节 行业投资形势分析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一、2018-2023年中国行业投资规模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二、行业投资壁垒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三、行业SWOT分析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四、行业五力模型分析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第三节 2024-2030年褐煤干燥体制行业投资效益分析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第四节 2024-2030年褐煤干燥体制行业投资前景研究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第五节 褐煤干燥体制行业投资前景预警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一、2024-2030年褐煤干燥体制行业市场风险预测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二、2024-2030年褐煤干燥体制行业政策风险预测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三、2024-2030年褐煤干燥体制行业经营风险预测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四、2024-2030年褐煤干燥体制行业技术风险预测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五、2024-2030年褐煤干燥体制行业竞争风险预测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六、2024-2030年褐煤干燥体制行业其他风险预测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第六节 市场策略分析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一、褐煤干燥体制价格策略分析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二、褐煤干燥体制渠道策略分析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第七节 销售策略分析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一、媒介选择策略分析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二、产品定位策略分析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三、企业宣传策略分析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第八节 提高褐煤干燥体制企业竞争力的策略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一、提高中国褐煤干燥体制企业核心竞争力的对策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二、褐煤干燥体制企业提升竞争力的主要方向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三、影响褐煤干燥体制企业核心竞争力的因素及提升途径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四、提高褐煤干燥体制企业竞争力的策略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第九节 对我国褐煤干燥体制品牌的战略思考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一、褐煤干燥体制实施品牌战略的意义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二、褐煤干燥体制企业品牌的现状分析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三、我国褐煤干燥体制企业的品牌战略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四、褐煤干燥体制品牌战略管理的策略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rPr>
          <w:b/>
          <w:bCs/>
        </w:rPr>
        <w:t>图表目录：</w:t>
      </w:r>
    </w:p>
    <w:p>
      <w:pPr>
        <w:spacing w:line="240" w:lineRule="auto"/>
        <w:ind w:left="0" w:leftChars="0" w:firstLine="0" w:firstLineChars="0"/>
      </w:pPr>
      <w:r>
        <w:t>图表1：2018-2023年全球褐煤干燥体制行业市场规模分析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图表2：2023年全球褐煤干燥体制行业规模区域分布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图表3：2018-2023年中国褐煤干燥体制行业产量情况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图表4：2018-2023年中国褐煤干燥体制行业需求情况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图表5：2018-2023年中国褐煤干燥体制行业规模情况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图表6：2024-2030年中国褐煤干燥体制行业产量预测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图表7：2024-2030年中国褐煤干燥体制行业需求预测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图表8：2024-2030年中国褐煤干燥体制行业规模预测分析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图表9：2024-2030年中国褐煤干燥体制行业价格预测</w:t>
      </w:r>
    </w:p>
    <w:p>
      <w:pPr>
        <w:spacing w:line="240" w:lineRule="auto"/>
        <w:ind w:left="0" w:leftChars="0" w:firstLine="0" w:firstLineChars="0"/>
      </w:pPr>
      <w:r>
        <w:t/>
      </w:r>
    </w:p>
    <w:p>
      <w:pPr>
        <w:spacing w:line="240" w:lineRule="auto"/>
        <w:ind w:left="0" w:leftChars="0" w:firstLine="0" w:firstLineChars="0"/>
      </w:pPr>
      <w:r>
        <w:t>省略更多图表</w:t>
      </w:r>
    </w:p>
    <w:p>
      <w:pPr>
        <w:spacing w:before="156" w:after="156"/>
        <w:ind w:left="0" w:leftChars="0" w:firstLine="0" w:firstLineChars="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before="156" w:after="156"/>
        <w:ind w:left="0" w:leftChars="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4"/>
          <w:szCs w:val="24"/>
        </w:rPr>
        <w:t>在线阅读：</w:t>
      </w:r>
      <w:r>
        <w:fldChar w:fldCharType="begin"/>
      </w:r>
      <w:r>
        <w:instrText xml:space="preserve"> HYPERLINK "https://www.icandata.com/baogao" </w:instrText>
      </w:r>
      <w:r>
        <w:fldChar w:fldCharType="separate"/>
      </w:r>
      <w:r>
        <w:rPr>
          <w:rStyle w:val="8"/>
          <w:rFonts w:ascii="宋体" w:hAnsi="宋体" w:eastAsia="宋体" w:cs="Times New Roman"/>
          <w:sz w:val="24"/>
          <w:szCs w:val="24"/>
        </w:rPr>
        <w:t>https://www.icandata.com/view/370264.html</w:t>
      </w:r>
      <w:r>
        <w:rPr>
          <w:rStyle w:val="8"/>
          <w:rFonts w:ascii="宋体" w:hAnsi="宋体" w:eastAsia="宋体" w:cs="Times New Roman"/>
          <w:sz w:val="24"/>
          <w:szCs w:val="24"/>
        </w:rPr>
        <w:fldChar w:fldCharType="end"/>
      </w:r>
    </w:p>
    <w:p>
      <w:pPr>
        <w:widowControl/>
        <w:spacing w:beforeLines="0" w:afterLines="0" w:line="240" w:lineRule="auto"/>
        <w:ind w:firstLine="0" w:firstLineChars="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pStyle w:val="3"/>
        <w:spacing w:before="156" w:after="156"/>
        <w:ind w:left="-1" w:leftChars="0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研究方法</w:t>
      </w:r>
    </w:p>
    <w:p>
      <w:pPr>
        <w:pStyle w:val="16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>
      <w:pPr>
        <w:pStyle w:val="16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>
      <w:pPr>
        <w:pStyle w:val="16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>
      <w:pPr>
        <w:pStyle w:val="16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>
      <w:pPr>
        <w:pStyle w:val="16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>
      <w:pPr>
        <w:pStyle w:val="16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>
      <w:pPr>
        <w:pStyle w:val="16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>
      <w:pPr>
        <w:pStyle w:val="3"/>
        <w:spacing w:before="156" w:after="156"/>
        <w:ind w:left="-1" w:leftChars="0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数据来源</w:t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hint="eastAsia" w:ascii="Verdana" w:hAnsi="Verdana"/>
          <w:color w:val="333333"/>
          <w:sz w:val="24"/>
          <w:szCs w:val="24"/>
          <w:lang w:eastAsia="zh-CN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hint="eastAsia" w:ascii="Verdana" w:hAnsi="Verdan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17"/>
          <w:rFonts w:ascii="Verdana" w:hAnsi="Verdana"/>
          <w:color w:val="333333"/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"http://www.stats.gov.cn/" </w:instrText>
      </w:r>
      <w:r>
        <w:rPr>
          <w:sz w:val="24"/>
          <w:szCs w:val="24"/>
        </w:rPr>
        <w:fldChar w:fldCharType="separate"/>
      </w:r>
      <w:r>
        <w:rPr>
          <w:rStyle w:val="8"/>
          <w:rFonts w:ascii="Verdana" w:hAnsi="Verdana"/>
          <w:color w:val="333333"/>
          <w:sz w:val="24"/>
          <w:szCs w:val="24"/>
        </w:rPr>
        <w:t>http://www.stats.gov.cn</w:t>
      </w:r>
      <w:r>
        <w:rPr>
          <w:rStyle w:val="8"/>
          <w:rFonts w:ascii="Verdana" w:hAnsi="Verdana"/>
          <w:color w:val="333333"/>
          <w:sz w:val="24"/>
          <w:szCs w:val="24"/>
        </w:rPr>
        <w:fldChar w:fldCharType="end"/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17"/>
          <w:rFonts w:ascii="Verdana" w:hAnsi="Verdana"/>
          <w:color w:val="333333"/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"http://www.saic.gov.cn/" </w:instrText>
      </w:r>
      <w:r>
        <w:rPr>
          <w:sz w:val="24"/>
          <w:szCs w:val="24"/>
        </w:rPr>
        <w:fldChar w:fldCharType="separate"/>
      </w:r>
      <w:r>
        <w:rPr>
          <w:rStyle w:val="8"/>
          <w:rFonts w:ascii="Verdana" w:hAnsi="Verdana"/>
          <w:color w:val="333333"/>
          <w:sz w:val="24"/>
          <w:szCs w:val="24"/>
        </w:rPr>
        <w:t>http://www.saic.gov.cn</w:t>
      </w:r>
      <w:r>
        <w:rPr>
          <w:rStyle w:val="8"/>
          <w:rFonts w:ascii="Verdana" w:hAnsi="Verdana"/>
          <w:color w:val="333333"/>
          <w:sz w:val="24"/>
          <w:szCs w:val="24"/>
        </w:rPr>
        <w:fldChar w:fldCharType="end"/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17"/>
          <w:rFonts w:ascii="Verdana" w:hAnsi="Verdana"/>
          <w:color w:val="333333"/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"http://www.customs.gov.cn/" </w:instrText>
      </w:r>
      <w:r>
        <w:rPr>
          <w:sz w:val="24"/>
          <w:szCs w:val="24"/>
        </w:rPr>
        <w:fldChar w:fldCharType="separate"/>
      </w:r>
      <w:r>
        <w:rPr>
          <w:rStyle w:val="8"/>
          <w:rFonts w:ascii="Verdana" w:hAnsi="Verdana"/>
          <w:color w:val="333333"/>
          <w:sz w:val="24"/>
          <w:szCs w:val="24"/>
        </w:rPr>
        <w:t>http://www.customs.gov.cn</w:t>
      </w:r>
      <w:r>
        <w:rPr>
          <w:rStyle w:val="8"/>
          <w:rFonts w:ascii="Verdana" w:hAnsi="Verdana"/>
          <w:color w:val="333333"/>
          <w:sz w:val="24"/>
          <w:szCs w:val="24"/>
        </w:rPr>
        <w:fldChar w:fldCharType="end"/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17"/>
          <w:rFonts w:ascii="Verdana" w:hAnsi="Verdana"/>
          <w:color w:val="333333"/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"http://www.mofcom.gov.cn/" </w:instrText>
      </w:r>
      <w:r>
        <w:rPr>
          <w:sz w:val="24"/>
          <w:szCs w:val="24"/>
        </w:rPr>
        <w:fldChar w:fldCharType="separate"/>
      </w:r>
      <w:r>
        <w:rPr>
          <w:rStyle w:val="8"/>
          <w:rFonts w:ascii="Verdana" w:hAnsi="Verdana"/>
          <w:color w:val="333333"/>
          <w:sz w:val="24"/>
          <w:szCs w:val="24"/>
        </w:rPr>
        <w:t>http://www.mofcom.gov.cn</w:t>
      </w:r>
      <w:r>
        <w:rPr>
          <w:rStyle w:val="8"/>
          <w:rFonts w:ascii="Verdana" w:hAnsi="Verdana"/>
          <w:color w:val="333333"/>
          <w:sz w:val="24"/>
          <w:szCs w:val="24"/>
        </w:rPr>
        <w:fldChar w:fldCharType="end"/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17"/>
          <w:rFonts w:ascii="Verdana" w:hAnsi="Verdana"/>
          <w:color w:val="333333"/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"http://www.csrc.gov.cn/" </w:instrText>
      </w:r>
      <w:r>
        <w:rPr>
          <w:sz w:val="24"/>
          <w:szCs w:val="24"/>
        </w:rPr>
        <w:fldChar w:fldCharType="separate"/>
      </w:r>
      <w:r>
        <w:rPr>
          <w:rStyle w:val="8"/>
          <w:rFonts w:ascii="Verdana" w:hAnsi="Verdana"/>
          <w:color w:val="333333"/>
          <w:sz w:val="24"/>
          <w:szCs w:val="24"/>
        </w:rPr>
        <w:t>http://www.csrc.gov.cn</w:t>
      </w:r>
      <w:r>
        <w:rPr>
          <w:rStyle w:val="8"/>
          <w:rFonts w:ascii="Verdana" w:hAnsi="Verdana"/>
          <w:color w:val="333333"/>
          <w:sz w:val="24"/>
          <w:szCs w:val="24"/>
        </w:rPr>
        <w:fldChar w:fldCharType="end"/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17"/>
          <w:rFonts w:ascii="Verdana" w:hAnsi="Verdana"/>
          <w:color w:val="333333"/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"http://www.mofcom.gov.cn/" </w:instrText>
      </w:r>
      <w:r>
        <w:rPr>
          <w:sz w:val="24"/>
          <w:szCs w:val="24"/>
        </w:rPr>
        <w:fldChar w:fldCharType="separate"/>
      </w:r>
      <w:r>
        <w:rPr>
          <w:rStyle w:val="8"/>
          <w:rFonts w:ascii="Verdana" w:hAnsi="Verdana"/>
          <w:color w:val="333333"/>
          <w:sz w:val="24"/>
          <w:szCs w:val="24"/>
        </w:rPr>
        <w:t>http://www.mofcom.gov.cn</w:t>
      </w:r>
      <w:r>
        <w:rPr>
          <w:rStyle w:val="8"/>
          <w:rFonts w:ascii="Verdana" w:hAnsi="Verdana"/>
          <w:color w:val="333333"/>
          <w:sz w:val="24"/>
          <w:szCs w:val="24"/>
        </w:rPr>
        <w:fldChar w:fldCharType="end"/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17"/>
          <w:rFonts w:ascii="Verdana" w:hAnsi="Verdana"/>
          <w:color w:val="333333"/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"https://www.wto.org/" </w:instrText>
      </w:r>
      <w:r>
        <w:rPr>
          <w:sz w:val="24"/>
          <w:szCs w:val="24"/>
        </w:rPr>
        <w:fldChar w:fldCharType="separate"/>
      </w:r>
      <w:r>
        <w:rPr>
          <w:rStyle w:val="8"/>
          <w:rFonts w:ascii="Verdana" w:hAnsi="Verdana"/>
          <w:color w:val="333333"/>
          <w:sz w:val="24"/>
          <w:szCs w:val="24"/>
        </w:rPr>
        <w:t>https://www.wto.org</w:t>
      </w:r>
      <w:r>
        <w:rPr>
          <w:rStyle w:val="8"/>
          <w:rFonts w:ascii="Verdana" w:hAnsi="Verdana"/>
          <w:color w:val="333333"/>
          <w:sz w:val="24"/>
          <w:szCs w:val="24"/>
        </w:rPr>
        <w:fldChar w:fldCharType="end"/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17"/>
          <w:rFonts w:ascii="Verdana" w:hAnsi="Verdana"/>
          <w:color w:val="333333"/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"http://unstats.un.org/" </w:instrText>
      </w:r>
      <w:r>
        <w:rPr>
          <w:sz w:val="24"/>
          <w:szCs w:val="24"/>
        </w:rPr>
        <w:fldChar w:fldCharType="separate"/>
      </w:r>
      <w:r>
        <w:rPr>
          <w:rStyle w:val="8"/>
          <w:rFonts w:ascii="Verdana" w:hAnsi="Verdana"/>
          <w:color w:val="333333"/>
          <w:sz w:val="24"/>
          <w:szCs w:val="24"/>
        </w:rPr>
        <w:t>http://unstats.un.org</w:t>
      </w:r>
      <w:r>
        <w:rPr>
          <w:rStyle w:val="8"/>
          <w:rFonts w:ascii="Verdana" w:hAnsi="Verdana"/>
          <w:color w:val="333333"/>
          <w:sz w:val="24"/>
          <w:szCs w:val="24"/>
        </w:rPr>
        <w:fldChar w:fldCharType="end"/>
      </w:r>
    </w:p>
    <w:p>
      <w:pPr>
        <w:widowControl/>
        <w:numPr>
          <w:ilvl w:val="0"/>
          <w:numId w:val="3"/>
        </w:numPr>
        <w:shd w:val="clear" w:color="auto" w:fill="FFFFFF"/>
        <w:spacing w:before="156" w:beforeLines="0" w:after="156" w:afterLines="0" w:line="240" w:lineRule="auto"/>
        <w:ind w:left="0" w:firstLine="360" w:firstLineChars="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17"/>
          <w:rFonts w:ascii="Verdana" w:hAnsi="Verdana"/>
          <w:color w:val="333333"/>
          <w:sz w:val="24"/>
          <w:szCs w:val="24"/>
        </w:rPr>
        <w:t>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"http://comtrade.un.org/" </w:instrText>
      </w:r>
      <w:r>
        <w:rPr>
          <w:sz w:val="24"/>
          <w:szCs w:val="24"/>
        </w:rPr>
        <w:fldChar w:fldCharType="separate"/>
      </w:r>
      <w:r>
        <w:rPr>
          <w:rStyle w:val="8"/>
          <w:rFonts w:ascii="Verdana" w:hAnsi="Verdana"/>
          <w:color w:val="333333"/>
          <w:sz w:val="24"/>
          <w:szCs w:val="24"/>
        </w:rPr>
        <w:t>http://comtrade.un.org</w:t>
      </w:r>
      <w:r>
        <w:rPr>
          <w:rStyle w:val="8"/>
          <w:rFonts w:ascii="Verdana" w:hAnsi="Verdana"/>
          <w:color w:val="333333"/>
          <w:sz w:val="24"/>
          <w:szCs w:val="24"/>
        </w:rPr>
        <w:fldChar w:fldCharType="end"/>
      </w:r>
    </w:p>
    <w:p>
      <w:pPr>
        <w:pStyle w:val="3"/>
        <w:spacing w:before="156" w:after="156"/>
        <w:ind w:left="-1" w:leftChars="0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关于</w:t>
      </w:r>
      <w:r>
        <w:rPr>
          <w:rFonts w:hint="eastAsia" w:ascii="宋体" w:hAnsi="宋体" w:eastAsia="宋体"/>
          <w:lang w:eastAsia="zh-CN"/>
        </w:rPr>
        <w:t>艾凯咨询</w:t>
      </w:r>
      <w:r>
        <w:rPr>
          <w:rFonts w:hint="eastAsia" w:ascii="宋体" w:hAnsi="宋体" w:eastAsia="宋体"/>
        </w:rPr>
        <w:t>网</w:t>
      </w:r>
    </w:p>
    <w:p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艾凯咨询</w:t>
      </w:r>
      <w:r>
        <w:rPr>
          <w:rFonts w:hint="eastAsia"/>
          <w:sz w:val="24"/>
          <w:szCs w:val="24"/>
        </w:rPr>
        <w:t>网（www.</w:t>
      </w:r>
      <w:r>
        <w:rPr>
          <w:rFonts w:hint="eastAsia"/>
          <w:sz w:val="24"/>
          <w:szCs w:val="24"/>
          <w:lang w:val="en-US" w:eastAsia="zh-CN"/>
        </w:rPr>
        <w:t>icandata</w:t>
      </w:r>
      <w:r>
        <w:rPr>
          <w:rFonts w:hint="eastAsia"/>
          <w:sz w:val="24"/>
          <w:szCs w:val="24"/>
        </w:rPr>
        <w:t>.com）隶属</w:t>
      </w:r>
      <w:r>
        <w:rPr>
          <w:rFonts w:hint="eastAsia"/>
          <w:sz w:val="24"/>
          <w:szCs w:val="24"/>
          <w:lang w:eastAsia="zh-CN"/>
        </w:rPr>
        <w:t>艾凯咨询集团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</w:rPr>
        <w:t>北京华经艾凯企业咨询有限公司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艾凯咨询集团</w:t>
      </w:r>
      <w:r>
        <w:rPr>
          <w:rFonts w:hint="eastAsia"/>
          <w:sz w:val="24"/>
          <w:szCs w:val="24"/>
        </w:rPr>
        <w:t>专注提供大中华区产业经济情报</w:t>
      </w:r>
      <w:r>
        <w:rPr>
          <w:rFonts w:hint="eastAsia"/>
          <w:sz w:val="24"/>
          <w:szCs w:val="24"/>
          <w:lang w:eastAsia="zh-CN"/>
        </w:rPr>
        <w:t>，为企业商业决策赋能，</w:t>
      </w:r>
      <w:r>
        <w:rPr>
          <w:rFonts w:hint="eastAsia"/>
          <w:sz w:val="24"/>
          <w:szCs w:val="24"/>
        </w:rPr>
        <w:t>是领先的市场研究报告和竞争情报提供商。</w:t>
      </w:r>
    </w:p>
    <w:p>
      <w:pPr>
        <w:widowControl/>
        <w:spacing w:beforeLines="0" w:afterLines="0"/>
        <w:ind w:firstLine="0" w:firstLineChars="0"/>
        <w:jc w:val="left"/>
        <w:rPr>
          <w:sz w:val="24"/>
          <w:szCs w:val="24"/>
        </w:rPr>
      </w:pPr>
    </w:p>
    <w:p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  <w:lang w:eastAsia="zh-CN"/>
        </w:rPr>
        <w:t>艾凯咨询</w:t>
      </w:r>
      <w:r>
        <w:rPr>
          <w:rFonts w:hint="eastAsia"/>
          <w:sz w:val="24"/>
          <w:szCs w:val="24"/>
        </w:rPr>
        <w:t>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  <w:lang w:eastAsia="zh-CN"/>
        </w:rPr>
        <w:t>，为企业商业决策赋能</w:t>
      </w:r>
      <w:r>
        <w:rPr>
          <w:sz w:val="24"/>
          <w:szCs w:val="24"/>
        </w:rPr>
        <w:t>。</w:t>
      </w:r>
    </w:p>
    <w:p>
      <w:pPr>
        <w:widowControl/>
        <w:spacing w:beforeLines="0" w:afterLines="0"/>
        <w:ind w:firstLine="0" w:firstLineChars="0"/>
        <w:jc w:val="left"/>
        <w:rPr>
          <w:sz w:val="24"/>
          <w:szCs w:val="24"/>
        </w:rPr>
      </w:pPr>
    </w:p>
    <w:p>
      <w:pPr>
        <w:widowControl/>
        <w:spacing w:beforeLines="0" w:afterLines="0"/>
        <w:ind w:firstLine="0" w:firstLine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 验丰富的专业分析师。对于特定及专属领域，我们有国内外众多合作研究机构，同时我们聘 请数名行业资深专家顾问，帮助客户分清市场现状和趋势，找准市场定位和切入机会，提出 合适中肯的建议，帮助客户实现价值，与客户一同成长。</w:t>
      </w:r>
    </w:p>
    <w:p>
      <w:pPr>
        <w:widowControl/>
        <w:spacing w:beforeLines="0" w:afterLines="0"/>
        <w:ind w:firstLine="0" w:firstLineChars="0"/>
        <w:jc w:val="left"/>
        <w:rPr>
          <w:sz w:val="24"/>
          <w:szCs w:val="24"/>
        </w:rPr>
      </w:pPr>
    </w:p>
    <w:p>
      <w:pPr>
        <w:widowControl/>
        <w:spacing w:beforeLines="0" w:afterLines="0"/>
        <w:ind w:firstLine="0" w:firstLine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>
      <w:pPr>
        <w:widowControl/>
        <w:spacing w:beforeLines="0" w:afterLines="0"/>
        <w:ind w:firstLine="0" w:firstLineChars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权威机构 </w:t>
      </w:r>
      <w:r>
        <w:rPr>
          <w:rFonts w:hint="eastAsia"/>
          <w:sz w:val="24"/>
          <w:szCs w:val="24"/>
          <w:lang w:eastAsia="zh-CN"/>
        </w:rPr>
        <w:t>艾凯咨询集团</w:t>
      </w:r>
      <w:r>
        <w:rPr>
          <w:sz w:val="24"/>
          <w:szCs w:val="24"/>
        </w:rPr>
        <w:t>二十年深厚行业背景;</w:t>
      </w:r>
    </w:p>
    <w:p>
      <w:pPr>
        <w:widowControl/>
        <w:spacing w:beforeLines="0" w:afterLines="0"/>
        <w:ind w:firstLine="0" w:firstLineChars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数量领先 </w:t>
      </w:r>
      <w:r>
        <w:rPr>
          <w:sz w:val="24"/>
          <w:szCs w:val="24"/>
        </w:rPr>
        <w:t>囊括主流研究报告和权威合作伙伴;</w:t>
      </w:r>
    </w:p>
    <w:p>
      <w:pPr>
        <w:widowControl/>
        <w:spacing w:beforeLines="0" w:afterLines="0"/>
        <w:ind w:firstLine="0" w:firstLineChars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服务齐全 </w:t>
      </w:r>
      <w:r>
        <w:rPr>
          <w:sz w:val="24"/>
          <w:szCs w:val="24"/>
        </w:rPr>
        <w:t>促销、推荐指数、积分、网上支付等;</w:t>
      </w:r>
    </w:p>
    <w:p>
      <w:pPr>
        <w:widowControl/>
        <w:spacing w:beforeLines="0" w:afterLines="0"/>
        <w:ind w:firstLine="0" w:firstLineChars="0"/>
        <w:jc w:val="left"/>
        <w:rPr>
          <w:rFonts w:ascii="宋体" w:hAnsi="宋体" w:eastAsia="宋体"/>
          <w:sz w:val="24"/>
          <w:szCs w:val="24"/>
        </w:rPr>
      </w:pPr>
      <w:r>
        <w:rPr>
          <w:b/>
          <w:sz w:val="24"/>
          <w:szCs w:val="24"/>
        </w:rPr>
        <w:t xml:space="preserve">良好声誉 </w:t>
      </w:r>
      <w:r>
        <w:rPr>
          <w:sz w:val="24"/>
          <w:szCs w:val="24"/>
        </w:rPr>
        <w:t>广泛知名度、满意度，众多新老客户。</w:t>
      </w:r>
      <w:r>
        <w:rPr>
          <w:rFonts w:ascii="宋体" w:hAnsi="宋体" w:eastAsia="宋体"/>
          <w:sz w:val="24"/>
          <w:szCs w:val="24"/>
        </w:rPr>
        <w:br w:type="page"/>
      </w:r>
    </w:p>
    <w:p>
      <w:pPr>
        <w:spacing w:before="156" w:after="156" w:line="3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  <w:lang w:eastAsia="zh-CN"/>
        </w:rPr>
        <w:t>艾凯咨询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产品订购单</w:t>
      </w:r>
    </w:p>
    <w:p>
      <w:pPr>
        <w:spacing w:before="156" w:after="156" w:line="24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您好，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感谢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选购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艾凯咨询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产品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，艾凯咨询集团为企业商业决策赋能。</w:t>
      </w:r>
    </w:p>
    <w:p>
      <w:pPr>
        <w:spacing w:before="156" w:after="156" w:line="240" w:lineRule="auto"/>
        <w:ind w:left="0" w:right="0" w:firstLine="48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请详细填写以下客户信息（包括公司名称、开票信息、邮寄地址等）并加盖公司公章后扫描（或拍照）发送邮件到：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sales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@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icandata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.com，以便我们尽快安排发送报告，谢谢您的合作！</w:t>
      </w:r>
    </w:p>
    <w:p>
      <w:pPr>
        <w:spacing w:beforeLines="0" w:afterLines="0"/>
        <w:ind w:left="0" w:leftChars="0"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银行汇款</w:t>
      </w:r>
    </w:p>
    <w:p>
      <w:pPr>
        <w:widowControl/>
        <w:spacing w:beforeLines="0" w:afterLines="0" w:line="240" w:lineRule="auto"/>
        <w:ind w:left="0" w:leftChars="0" w:firstLine="482" w:firstLineChars="200"/>
        <w:jc w:val="left"/>
        <w:rPr>
          <w:rFonts w:hint="eastAsia" w:ascii="宋体" w:hAnsi="宋体" w:eastAsia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lang w:eastAsia="zh-CN"/>
        </w:rPr>
        <w:t>开户行：</w:t>
      </w:r>
      <w:r>
        <w:rPr>
          <w:rFonts w:hint="eastAsia" w:ascii="宋体" w:hAnsi="宋体" w:eastAsia="宋体"/>
          <w:b w:val="0"/>
          <w:bCs w:val="0"/>
          <w:sz w:val="24"/>
          <w:lang w:eastAsia="zh-CN"/>
        </w:rPr>
        <w:t>中国工商工商银行北京八角支行</w:t>
      </w:r>
    </w:p>
    <w:p>
      <w:pPr>
        <w:widowControl/>
        <w:spacing w:beforeLines="0" w:afterLines="0" w:line="240" w:lineRule="auto"/>
        <w:ind w:left="0" w:leftChars="0" w:firstLine="482" w:firstLineChars="200"/>
        <w:jc w:val="left"/>
        <w:rPr>
          <w:rFonts w:hint="eastAsia" w:ascii="宋体" w:hAnsi="宋体" w:eastAsia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lang w:eastAsia="zh-CN"/>
        </w:rPr>
        <w:t>账　户：</w:t>
      </w:r>
      <w:r>
        <w:rPr>
          <w:rFonts w:hint="eastAsia" w:ascii="宋体" w:hAnsi="宋体" w:eastAsia="宋体"/>
          <w:b w:val="0"/>
          <w:bCs w:val="0"/>
          <w:sz w:val="24"/>
          <w:lang w:eastAsia="zh-CN"/>
        </w:rPr>
        <w:t>华经艾凯（北京）企业咨询有限公司</w:t>
      </w:r>
    </w:p>
    <w:p>
      <w:pPr>
        <w:widowControl/>
        <w:spacing w:beforeLines="0" w:afterLines="0" w:line="240" w:lineRule="auto"/>
        <w:ind w:left="0" w:leftChars="0" w:firstLine="482" w:firstLineChars="200"/>
        <w:jc w:val="left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账　号：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02002 18709 20002 7301</w:t>
      </w:r>
    </w:p>
    <w:p>
      <w:pPr>
        <w:widowControl/>
        <w:spacing w:beforeLines="0" w:afterLines="0" w:line="240" w:lineRule="auto"/>
        <w:ind w:left="420" w:leftChars="200" w:firstLine="482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</w:p>
    <w:tbl>
      <w:tblPr>
        <w:tblStyle w:val="9"/>
        <w:tblW w:w="8522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694"/>
        <w:gridCol w:w="1559"/>
        <w:gridCol w:w="2104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8522" w:type="dxa"/>
            <w:gridSpan w:val="5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Lines="0" w:afterLines="0" w:line="240" w:lineRule="auto"/>
                                    <w:ind w:firstLine="0" w:firstLine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360.75pt;margin-top:17.55pt;height:21pt;width:54.75pt;z-index:251664384;mso-width-relative:page;mso-height-relative:page;" filled="f" stroked="f" coordsize="21600,21600" o:gfxdata="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PQ&#10;PU7WAAAACQEAAA8AAAAAAAAAAQAgAAAAIgAAAGRycy9kb3ducmV2LnhtbFBLAQIUABQAAAAIAIdO&#10;4kAvAB/Q7AEAAMUDAAAOAAAAAAAAAAEAIAAAACUBAABkcnMvZTJvRG9jLnhtbFBLBQYAAAAABgAG&#10;AFkBAACD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Lines="0" w:afterLines="0" w:line="240" w:lineRule="auto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b/>
                <w:szCs w:val="21"/>
              </w:rPr>
              <w:t>客户资料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税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号</w:t>
            </w:r>
          </w:p>
        </w:tc>
        <w:tc>
          <w:tcPr>
            <w:tcW w:w="6997" w:type="dxa"/>
            <w:gridSpan w:val="4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单位地址</w:t>
            </w:r>
          </w:p>
        </w:tc>
        <w:tc>
          <w:tcPr>
            <w:tcW w:w="6357" w:type="dxa"/>
            <w:gridSpan w:val="3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增值税专用发票填写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电话号码</w:t>
            </w:r>
          </w:p>
        </w:tc>
        <w:tc>
          <w:tcPr>
            <w:tcW w:w="6357" w:type="dxa"/>
            <w:gridSpan w:val="3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0" w:type="dxa"/>
            <w:vMerge w:val="continue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开户银行</w:t>
            </w:r>
          </w:p>
        </w:tc>
        <w:tc>
          <w:tcPr>
            <w:tcW w:w="6357" w:type="dxa"/>
            <w:gridSpan w:val="3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0" w:type="dxa"/>
            <w:vMerge w:val="continue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银行账号</w:t>
            </w:r>
          </w:p>
        </w:tc>
        <w:tc>
          <w:tcPr>
            <w:tcW w:w="6357" w:type="dxa"/>
            <w:gridSpan w:val="3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0" w:type="dxa"/>
            <w:vMerge w:val="continue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  <w:vAlign w:val="top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邮寄</w:t>
            </w:r>
            <w:r>
              <w:rPr>
                <w:rFonts w:hint="eastAsia" w:ascii="宋体" w:hAnsi="宋体" w:eastAsia="宋体"/>
                <w:szCs w:val="21"/>
              </w:rPr>
              <w:t>地址</w:t>
            </w:r>
          </w:p>
        </w:tc>
        <w:tc>
          <w:tcPr>
            <w:tcW w:w="6997" w:type="dxa"/>
            <w:gridSpan w:val="4"/>
            <w:vAlign w:val="top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收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件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  <w:tc>
          <w:tcPr>
            <w:tcW w:w="2694" w:type="dxa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收件人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电话</w:t>
            </w:r>
          </w:p>
        </w:tc>
        <w:tc>
          <w:tcPr>
            <w:tcW w:w="2744" w:type="dxa"/>
            <w:gridSpan w:val="2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8522" w:type="dxa"/>
            <w:gridSpan w:val="5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2024-2030年中国褐煤干燥体制行业市场发展现状及投资前景咨询报告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370264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纸介版 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电子版 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纸介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/>
                <w:szCs w:val="21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订购份数</w:t>
            </w:r>
          </w:p>
        </w:tc>
        <w:tc>
          <w:tcPr>
            <w:tcW w:w="2694" w:type="dxa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525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发送方式</w:t>
            </w:r>
          </w:p>
        </w:tc>
        <w:tc>
          <w:tcPr>
            <w:tcW w:w="2694" w:type="dxa"/>
          </w:tcPr>
          <w:p>
            <w:pPr>
              <w:spacing w:beforeLines="0" w:afterLines="0" w:line="276" w:lineRule="auto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t>快递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电子邮件</w:t>
            </w:r>
          </w:p>
        </w:tc>
        <w:tc>
          <w:tcPr>
            <w:tcW w:w="1559" w:type="dxa"/>
          </w:tcPr>
          <w:p>
            <w:pPr>
              <w:spacing w:beforeLines="0" w:afterLines="0" w:line="276" w:lineRule="auto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开具</w:t>
            </w:r>
            <w:r>
              <w:rPr>
                <w:rFonts w:hint="eastAsia" w:ascii="宋体" w:hAnsi="宋体" w:eastAsia="宋体"/>
                <w:szCs w:val="21"/>
              </w:rPr>
              <w:t>发票</w:t>
            </w:r>
          </w:p>
        </w:tc>
        <w:tc>
          <w:tcPr>
            <w:tcW w:w="2744" w:type="dxa"/>
            <w:gridSpan w:val="2"/>
          </w:tcPr>
          <w:p>
            <w:pPr>
              <w:spacing w:beforeLines="0" w:afterLines="0" w:line="276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right"/>
        </w:trPr>
        <w:tc>
          <w:tcPr>
            <w:tcW w:w="8522" w:type="dxa"/>
            <w:gridSpan w:val="5"/>
          </w:tcPr>
          <w:p>
            <w:pPr>
              <w:spacing w:before="156" w:after="156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备注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说明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：</w:t>
            </w:r>
          </w:p>
          <w:p>
            <w:pPr>
              <w:spacing w:before="156" w:after="156" w:line="240" w:lineRule="auto"/>
              <w:ind w:left="0" w:right="0" w:firstLine="20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付款后请将付款底单（或电子回单）通过邮件告之我司，以便我们及时为您发送报告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。</w:t>
            </w:r>
          </w:p>
          <w:p>
            <w:pPr>
              <w:spacing w:before="156" w:after="156" w:line="240" w:lineRule="auto"/>
              <w:ind w:left="0" w:right="0" w:firstLine="20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邮箱地址：</w:t>
            </w:r>
            <w:r>
              <w:rPr>
                <w:rFonts w:hint="default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fldChar w:fldCharType="begin"/>
            </w:r>
            <w:r>
              <w:rPr>
                <w:rFonts w:hint="default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instrText xml:space="preserve"> HYPERLINK "mailto:sales@icandata.com" </w:instrText>
            </w:r>
            <w:r>
              <w:rPr>
                <w:rFonts w:hint="default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fldChar w:fldCharType="separate"/>
            </w:r>
            <w:r>
              <w:rPr>
                <w:rFonts w:hint="eastAsia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sales</w:t>
            </w:r>
            <w:r>
              <w:rPr>
                <w:rFonts w:hint="default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@</w:t>
            </w:r>
            <w:r>
              <w:rPr>
                <w:rFonts w:hint="eastAsia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icandata.</w:t>
            </w:r>
            <w:r>
              <w:rPr>
                <w:rFonts w:hint="default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com</w:t>
            </w:r>
            <w:r>
              <w:rPr>
                <w:rFonts w:hint="default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fldChar w:fldCharType="end"/>
            </w:r>
          </w:p>
          <w:p>
            <w:pPr>
              <w:spacing w:before="156" w:after="156" w:line="240" w:lineRule="auto"/>
              <w:ind w:left="420" w:leftChars="200" w:firstLine="0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联系电话：</w:t>
            </w:r>
            <w:r>
              <w:rPr>
                <w:rFonts w:hint="default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400-700-0142</w:t>
            </w:r>
            <w:r>
              <w:rPr>
                <w:rFonts w:hint="eastAsia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 xml:space="preserve">  </w:t>
            </w:r>
            <w:r>
              <w:rPr>
                <w:rFonts w:hint="default" w:ascii="Tahoma" w:hAnsi="Tahoma" w:eastAsia="宋体" w:cs="Tahom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 xml:space="preserve">010-80392465  </w:t>
            </w:r>
          </w:p>
        </w:tc>
      </w:tr>
    </w:tbl>
    <w:p>
      <w:pPr>
        <w:spacing w:before="156" w:after="156"/>
        <w:ind w:firstLine="0" w:firstLineChars="0"/>
        <w:rPr>
          <w:rFonts w:ascii="宋体" w:hAnsi="宋体" w:eastAsia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800" w:bottom="1843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 w:line="240" w:lineRule="auto"/>
      <w:ind w:left="90" w:hanging="90" w:hangingChars="5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hint="eastAsia" w:ascii="Arial" w:hAnsi="Arial" w:cs="Arial"/>
        <w:lang w:eastAsia="zh-CN"/>
      </w:rPr>
      <w:t>热线</w:t>
    </w:r>
    <w:r>
      <w:rPr>
        <w:rFonts w:ascii="Arial" w:hAnsi="Arial" w:cs="Arial"/>
      </w:rPr>
      <w:t>：400-700-0142  010-</w:t>
    </w:r>
    <w:r>
      <w:rPr>
        <w:rFonts w:hint="eastAsia" w:ascii="Arial" w:hAnsi="Arial" w:cs="Arial"/>
      </w:rPr>
      <w:t>80392465</w:t>
    </w:r>
  </w:p>
  <w:p>
    <w:pPr>
      <w:pStyle w:val="5"/>
      <w:spacing w:beforeLines="0" w:afterLines="0" w:line="240" w:lineRule="auto"/>
      <w:ind w:left="90" w:hanging="90" w:hangingChars="50"/>
    </w:pPr>
    <w:r>
      <w:rPr>
        <w:rFonts w:ascii="Arial" w:hAnsi="Arial" w:cs="Arial"/>
      </w:rPr>
      <w:t>官方网址：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HYPERLINK "https://www.icandata.com" </w:instrText>
    </w:r>
    <w:r>
      <w:rPr>
        <w:rFonts w:ascii="Arial" w:hAnsi="Arial" w:cs="Arial"/>
      </w:rPr>
      <w:fldChar w:fldCharType="separate"/>
    </w:r>
    <w:r>
      <w:rPr>
        <w:rStyle w:val="8"/>
        <w:rFonts w:ascii="Arial" w:hAnsi="Arial" w:cs="Arial"/>
      </w:rPr>
      <w:t>https://www.icandata.com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电子邮件：</w:t>
    </w:r>
    <w:r>
      <w:rPr>
        <w:rFonts w:hint="eastAsia" w:ascii="Arial" w:hAnsi="Arial" w:cs="Arial"/>
        <w:lang w:val="en-US" w:eastAsia="zh-CN"/>
      </w:rPr>
      <w:t>sales</w:t>
    </w:r>
    <w:r>
      <w:rPr>
        <w:rFonts w:ascii="Arial" w:hAnsi="Arial" w:cs="Arial"/>
      </w:rPr>
      <w:t>@</w:t>
    </w:r>
    <w:r>
      <w:rPr>
        <w:rFonts w:hint="eastAsia" w:ascii="Arial" w:hAnsi="Arial" w:cs="Arial"/>
        <w:kern w:val="0"/>
        <w:lang w:val="en-US" w:eastAsia="zh-CN"/>
      </w:rPr>
      <w:t>icandata</w:t>
    </w:r>
    <w:r>
      <w:rPr>
        <w:rFonts w:ascii="Arial" w:hAnsi="Arial" w:cs="Arial"/>
      </w:rPr>
      <w:t>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 w:line="240" w:lineRule="auto"/>
      <w:ind w:firstLine="0" w:firstLineChars="0"/>
      <w:jc w:val="both"/>
    </w:pPr>
    <w:r>
      <w:rPr>
        <w:rFonts w:hint="eastAsia"/>
        <w:lang w:eastAsia="zh-CN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www.</w:t>
    </w:r>
    <w:r>
      <w:rPr>
        <w:rFonts w:hint="eastAsia"/>
        <w:lang w:val="en-US" w:eastAsia="zh-CN"/>
      </w:rPr>
      <w:t>icandata</w:t>
    </w:r>
    <w:r>
      <w:rPr>
        <w:rFonts w:hint="eastAsia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1EB"/>
    <w:multiLevelType w:val="multilevel"/>
    <w:tmpl w:val="02E661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B8767B"/>
    <w:multiLevelType w:val="multilevel"/>
    <w:tmpl w:val="09B8767B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166995"/>
    <w:multiLevelType w:val="multilevel"/>
    <w:tmpl w:val="43166995"/>
    <w:lvl w:ilvl="0" w:tentative="0">
      <w:start w:val="1"/>
      <w:numFmt w:val="bullet"/>
      <w:lvlText w:val="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 w:tentative="1">
        <w:start w:val="0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0"/>
        <w:numId w:val="1"/>
      </w:numPr>
      <w:spacing w:line="415" w:lineRule="auto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标题 2 Char"/>
    <w:basedOn w:val="7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葡萄柚（北京）软件有限公司</Company>
  <Pages>6</Pages>
  <Words>355</Words>
  <Characters>2024</Characters>
  <Lines>16</Lines>
  <Paragraphs>4</Paragraphs>
  <TotalTime>9</TotalTime>
  <ScaleCrop>false</ScaleCrop>
  <LinksUpToDate>false</LinksUpToDate>
  <CharactersWithSpaces>2375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2016-08-22T14:58:00Z</dcterms:created>
  <dc:creator>Lynn</dc:creator>
  <cp:lastModifiedBy>云知光</cp:lastModifiedBy>
  <dcterms:modified xsi:type="dcterms:W3CDTF">2018-12-20T05:35:18Z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