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中国医疗服务投资现状与前景分析报告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中国医疗服务投资现状与前景分析报告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中国医疗服务投资现状与前景分析报告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https://www.icandata.com/view/39637.html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https://www.icandata.com/view/39637.html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中国医疗服务投资现状与前景分析报告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39637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