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中国医疗服务投资现状与前景分析报告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中国医疗服务投资现状与前景分析报告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中国医疗服务投资现状与前景分析报告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中国医疗服务投资现状与前景分析报告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