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2006-2007年中国液晶显示关键器件之背光源发展与投资机会研究年度报告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2006-2007年中国液晶显示关键器件之背光源发展与投资机会研究年度报告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2006-2007年中国液晶显示关键器件之背光源发展与投资机会研究年度报告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2007年2月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https://www.icandata.com/view/40287.html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https://www.icandata.com/view/40287.html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2006-2007年中国液晶显示关键器件之背光源发展与投资机会研究年度报告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40287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