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2007—2010年中国特殊钢产业发展趋势决策咨询及行业竞争力调查市场分析及发展趋势研究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2007—2010年中国特殊钢产业发展趋势决策咨询及行业竞争力调查市场分析及发展趋势研究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2007—2010年中国特殊钢产业发展趋势决策咨询及行业竞争力调查市场分析及发展趋势研究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https://www.icandata.com/view/62855.html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https://www.icandata.com/view/62855.html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2007—2010年中国特殊钢产业发展趋势决策咨询及行业竞争力调查市场分析及发展趋势研究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62855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