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2009-2012年中国主题公园及旅游地产行业应对新经济环境变化及发展前景预测报告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2009-2012年中国主题公园及旅游地产行业应对新经济环境变化及发展前景预测报告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2009-2012年中国主题公园及旅游地产行业应对新经济环境变化及发展前景预测报告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2009年4月 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https://www.icandata.com/view/96990.html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https://www.icandata.com/view/96990.html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2009-2012年中国主题公园及旅游地产行业应对新经济环境变化及发展前景预测报告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96990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